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16 (Benchmarking)</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expressions shall have the following meanings:</w:t>
      </w:r>
    </w:p>
    <w:tbl>
      <w:tblPr>
        <w:tblStyle w:val="Table1"/>
        <w:tblW w:w="8042.0" w:type="dxa"/>
        <w:jc w:val="left"/>
        <w:tblInd w:w="893.0" w:type="dxa"/>
        <w:tblLayout w:type="fixed"/>
        <w:tblLook w:val="0400"/>
      </w:tblPr>
      <w:tblGrid>
        <w:gridCol w:w="2900"/>
        <w:gridCol w:w="5142"/>
        <w:tblGridChange w:id="0">
          <w:tblGrid>
            <w:gridCol w:w="2900"/>
            <w:gridCol w:w="5142"/>
          </w:tblGrid>
        </w:tblGridChange>
      </w:tblGrid>
      <w:tr>
        <w:trPr>
          <w:cantSplit w:val="0"/>
          <w:tblHeader w:val="0"/>
        </w:trPr>
        <w:tc>
          <w:tcPr>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 Review"</w:t>
            </w:r>
          </w:p>
        </w:tc>
        <w:tc>
          <w:tcPr>
            <w:shd w:fill="auto" w:val="cle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of the Deliverables carried out in accordance with this Schedule to determine whether those Deliverables represent Good Value;</w:t>
            </w:r>
          </w:p>
        </w:tc>
      </w:tr>
      <w:tr>
        <w:trPr>
          <w:cantSplit w:val="0"/>
          <w:tblHeader w:val="0"/>
        </w:trPr>
        <w:tc>
          <w:tcPr>
            <w:shd w:fill="auto" w:val="cle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"Benchmarked Deliverables"</w:t>
            </w:r>
          </w:p>
        </w:tc>
        <w:tc>
          <w:tcPr>
            <w:shd w:fill="auto" w:val="cle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Deliverables included within the scope of a Benchmark Review pursuant to this Schedule;</w:t>
            </w:r>
          </w:p>
        </w:tc>
      </w:tr>
      <w:tr>
        <w:trPr>
          <w:cantSplit w:val="0"/>
          <w:tblHeader w:val="0"/>
        </w:trPr>
        <w:tc>
          <w:tcPr>
            <w:shd w:fill="auto"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Rates"</w:t>
            </w:r>
          </w:p>
        </w:tc>
        <w:tc>
          <w:tcPr>
            <w:shd w:fill="auto" w:val="clea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for Comparable Deliverables;</w:t>
            </w:r>
          </w:p>
        </w:tc>
      </w:tr>
      <w:tr>
        <w:trPr>
          <w:cantSplit w:val="0"/>
          <w:tblHeader w:val="0"/>
        </w:trPr>
        <w:tc>
          <w:tcPr>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Deliverables"</w:t>
            </w:r>
          </w:p>
        </w:tc>
        <w:tc>
          <w:tcPr>
            <w:shd w:fill="auto" w:val="cle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trPr>
          <w:cantSplit w:val="0"/>
          <w:tblHeader w:val="0"/>
        </w:trPr>
        <w:tc>
          <w:tcPr>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"Comparison Group"</w:t>
            </w:r>
          </w:p>
        </w:tc>
        <w:tc>
          <w:tcPr>
            <w:shd w:fill="auto"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trPr>
          <w:cantSplit w:val="0"/>
          <w:tblHeader w:val="0"/>
        </w:trPr>
        <w:tc>
          <w:tcPr>
            <w:shd w:fill="auto" w:val="clea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"Equivalent Data"</w:t>
            </w:r>
          </w:p>
        </w:tc>
        <w:tc>
          <w:tcPr>
            <w:shd w:fill="auto" w:val="clea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data derived from an analysis of the Comparable Rates and/or the Comparable Deliverables (as applicable) provided by the Comparison Group;</w:t>
            </w:r>
          </w:p>
        </w:tc>
      </w:tr>
      <w:tr>
        <w:trPr>
          <w:cantSplit w:val="0"/>
          <w:tblHeader w:val="0"/>
        </w:trPr>
        <w:tc>
          <w:tcPr>
            <w:shd w:fill="auto" w:val="clea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 Value"</w:t>
            </w:r>
          </w:p>
        </w:tc>
        <w:tc>
          <w:tcPr>
            <w:shd w:fill="auto" w:val="clea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the Benchmarked Rates are within the Upper Quartile; and</w:t>
            </w:r>
          </w:p>
        </w:tc>
      </w:tr>
      <w:tr>
        <w:trPr>
          <w:cantSplit w:val="0"/>
          <w:tblHeader w:val="0"/>
        </w:trPr>
        <w:tc>
          <w:tcPr>
            <w:shd w:fill="auto" w:val="clea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"Upper Quartile"</w:t>
            </w:r>
          </w:p>
        </w:tc>
        <w:tc>
          <w:tcPr>
            <w:shd w:fill="auto" w:val="clea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000000" w:rsidDel="00000000" w:rsidP="00000000" w:rsidRDefault="00000000" w:rsidRPr="00000000" w14:paraId="0000001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wishes to ensure that the Deliverables, represent value for money to the taxpayer throughout the Contract Period.  </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Amounts payable under this Schedule shall not fall with the definition of a Cost.</w:t>
      </w:r>
    </w:p>
    <w:p w:rsidR="00000000" w:rsidDel="00000000" w:rsidP="00000000" w:rsidRDefault="00000000" w:rsidRPr="00000000" w14:paraId="0000001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Benchmarking</w:t>
      </w:r>
    </w:p>
    <w:p w:rsidR="00000000" w:rsidDel="00000000" w:rsidP="00000000" w:rsidRDefault="00000000" w:rsidRPr="00000000" w14:paraId="0000001A">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benchmarking works</w:t>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1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by written notice to the Supplier, require a Benchmark Review of any or all of the Deliverables.</w:t>
      </w:r>
    </w:p>
    <w:p w:rsidR="00000000" w:rsidDel="00000000" w:rsidP="00000000" w:rsidRDefault="00000000" w:rsidRPr="00000000" w14:paraId="0000001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be entitled to request a Benchmark Review during the first six (6) Month period from the Contract Commencement Date or at intervals of less than twelve (12) Months after any previous Benchmark Review. </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purpose of a Benchmark Review will be to establish whether the Benchmarked Deliverables are, individually and/or as a whole, Good Value.</w:t>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that are to be the Benchmarked Deliverables will be identified by the Buyer in writing.</w:t>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rsidR="00000000" w:rsidDel="00000000" w:rsidP="00000000" w:rsidRDefault="00000000" w:rsidRPr="00000000" w14:paraId="000000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rsidR="00000000" w:rsidDel="00000000" w:rsidP="00000000" w:rsidRDefault="00000000" w:rsidRPr="00000000" w14:paraId="0000002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Process</w:t>
      </w:r>
    </w:p>
    <w:p w:rsidR="00000000" w:rsidDel="00000000" w:rsidP="00000000" w:rsidRDefault="00000000" w:rsidRPr="00000000" w14:paraId="0000002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produce and send to the Buyer, for Approval, a draft plan for the Benchmark Review which must include:</w:t>
      </w:r>
    </w:p>
    <w:p w:rsidR="00000000" w:rsidDel="00000000" w:rsidP="00000000" w:rsidRDefault="00000000" w:rsidRPr="00000000" w14:paraId="0000002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proposed cost and timetable for the Benchmark Review;</w:t>
      </w:r>
    </w:p>
    <w:p w:rsidR="00000000" w:rsidDel="00000000" w:rsidP="00000000" w:rsidRDefault="00000000" w:rsidRPr="00000000" w14:paraId="0000002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benchmarking methodology to be used which must demonstrate that the methodology to be used is capable of fulfilling the benchmarking purpose; and</w:t>
      </w:r>
    </w:p>
    <w:p w:rsidR="00000000" w:rsidDel="00000000" w:rsidP="00000000" w:rsidRDefault="00000000" w:rsidRPr="00000000" w14:paraId="0000002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how the benchmarker will scope and identify the Comparison Group. </w:t>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acting reasonably, shall be entitled to use any model to determine the achievement of value for money and to carry out the benchmarking. </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both Parties have approved the draft plan then they will notify the benchmarker.  No Party may unreasonably withhold or delay its Approval of the draft plan.</w:t>
      </w:r>
    </w:p>
    <w:p w:rsidR="00000000" w:rsidDel="00000000" w:rsidP="00000000" w:rsidRDefault="00000000" w:rsidRPr="00000000" w14:paraId="0000002A">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it has received the Approval of the draft plan, the benchmarker shall:</w:t>
      </w:r>
    </w:p>
    <w:p w:rsidR="00000000" w:rsidDel="00000000" w:rsidP="00000000" w:rsidRDefault="00000000" w:rsidRPr="00000000" w14:paraId="0000002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finalise the Comparison Group and collect data relating to Comparable Rates. The selection of the Comparable Rates (both in terms of number and identity) shall be a matter for the Supplier's professional judgement using:</w:t>
      </w:r>
    </w:p>
    <w:p w:rsidR="00000000" w:rsidDel="00000000" w:rsidP="00000000" w:rsidRDefault="00000000" w:rsidRPr="00000000" w14:paraId="0000002C">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market intelligence;</w:t>
      </w:r>
    </w:p>
    <w:p w:rsidR="00000000" w:rsidDel="00000000" w:rsidP="00000000" w:rsidRDefault="00000000" w:rsidRPr="00000000" w14:paraId="0000002D">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benchmarker’s own data and experience;</w:t>
      </w:r>
    </w:p>
    <w:p w:rsidR="00000000" w:rsidDel="00000000" w:rsidP="00000000" w:rsidRDefault="00000000" w:rsidRPr="00000000" w14:paraId="0000002E">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published information; and</w:t>
      </w:r>
    </w:p>
    <w:p w:rsidR="00000000" w:rsidDel="00000000" w:rsidP="00000000" w:rsidRDefault="00000000" w:rsidRPr="00000000" w14:paraId="0000002F">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pursuant to Paragraph 3.2.6  below, information from other suppliers or purchasers on Comparable Rates;</w:t>
      </w:r>
    </w:p>
    <w:p w:rsidR="00000000" w:rsidDel="00000000" w:rsidP="00000000" w:rsidRDefault="00000000" w:rsidRPr="00000000" w14:paraId="0000003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applying the adjustment factors listed in Paragraph 3.2.7 and from an analysis of the Comparable Rates, derive the Equivalent Data;</w:t>
      </w:r>
    </w:p>
    <w:p w:rsidR="00000000" w:rsidDel="00000000" w:rsidP="00000000" w:rsidRDefault="00000000" w:rsidRPr="00000000" w14:paraId="0000003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using the Equivalent Data, calculate the Upper Quartile;</w:t>
      </w:r>
    </w:p>
    <w:p w:rsidR="00000000" w:rsidDel="00000000" w:rsidP="00000000" w:rsidRDefault="00000000" w:rsidRPr="00000000" w14:paraId="0000003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determine whether or not each Benchmarked Rate is, and/or the Benchmarked Rates as a whole are, Good Value.</w:t>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rsidR="00000000" w:rsidDel="00000000" w:rsidP="00000000" w:rsidRDefault="00000000" w:rsidRPr="00000000" w14:paraId="00000034">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carrying out the benchmarking analysis the benchmarker may have regard to the following matters when performing a comparative assessment of the Benchmarked Rates and the Comparable Rates in order to derive Equivalent Data:</w:t>
      </w:r>
    </w:p>
    <w:p w:rsidR="00000000" w:rsidDel="00000000" w:rsidP="00000000" w:rsidRDefault="00000000" w:rsidRPr="00000000" w14:paraId="0000003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and business environment under which the Comparable Rates are being provided (including the scale and geographical spread of the customers);</w:t>
      </w:r>
    </w:p>
    <w:p w:rsidR="00000000" w:rsidDel="00000000" w:rsidP="00000000" w:rsidRDefault="00000000" w:rsidRPr="00000000" w14:paraId="0000003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exchange rates;</w:t>
      </w:r>
    </w:p>
    <w:p w:rsidR="00000000" w:rsidDel="00000000" w:rsidP="00000000" w:rsidRDefault="00000000" w:rsidRPr="00000000" w14:paraId="0000003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factors reasonably identified by the Supplier, which, if not taken into consideration, could unfairly cause the Supplier's pricing to appear non-competitive.</w:t>
      </w:r>
    </w:p>
    <w:p w:rsidR="00000000" w:rsidDel="00000000" w:rsidP="00000000" w:rsidRDefault="00000000" w:rsidRPr="00000000" w14:paraId="0000003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8" w:right="0" w:hanging="216"/>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this Schedule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mean the report produced by the benchmarker following the Benchmark Review and as further described in this Schedule;</w:t>
      </w:r>
    </w:p>
    <w:p w:rsidR="00000000" w:rsidDel="00000000" w:rsidP="00000000" w:rsidRDefault="00000000" w:rsidRPr="00000000" w14:paraId="0000003A">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prepare a Benchmarking Report and deliver it to the Buyer, at the time specified in the plan Approved pursuant to Paragraph 3.2.3, setting out its findings.  Those findings shall be required to:</w:t>
      </w:r>
    </w:p>
    <w:p w:rsidR="00000000" w:rsidDel="00000000" w:rsidP="00000000" w:rsidRDefault="00000000" w:rsidRPr="00000000" w14:paraId="0000003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finding as to whether or not a Benchmarked Service and/or whether the Benchmarked Deliverables as a whole are, Good Value;</w:t>
      </w:r>
    </w:p>
    <w:p w:rsidR="00000000" w:rsidDel="00000000" w:rsidP="00000000" w:rsidRDefault="00000000" w:rsidRPr="00000000" w14:paraId="0000003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of the Benchmarked Deliverables are, individually or as a whole, not Good Value, specify the changes that would be required to make that Benchmarked Service or the Benchmarked Deliverables as a whole Good Value; and </w:t>
      </w:r>
    </w:p>
    <w:p w:rsidR="00000000" w:rsidDel="00000000" w:rsidP="00000000" w:rsidRDefault="00000000" w:rsidRPr="00000000" w14:paraId="0000003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sufficient detail and transparency so that the Party requesting the Benchmarking can interpret and understand how the Supplier has calculated whether or not the Benchmarked Deliverables are, individually or as a whole, Good Value.</w:t>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changes required to this Contract identified in the Benchmarking Report shall be implemented at the direction of the Buyer in accordance with Clause 24 (Changing the contract).</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7">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v3.0</w:t>
      <w:tab/>
    </w:r>
    <w:r w:rsidDel="00000000" w:rsidR="00000000" w:rsidRPr="00000000">
      <w:rPr>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RM6336</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B">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v3.2</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-13333</wp:posOffset>
          </wp:positionV>
          <wp:extent cx="849085" cy="685627"/>
          <wp:effectExtent b="0" l="0" r="0" t="0"/>
          <wp:wrapNone/>
          <wp:docPr descr="Crown Commercial Service" id="3"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16 (Benchmarking)</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uiPriority w:val="99"/>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uiPriority w:val="99"/>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uiPriority w:val="99"/>
    <w:qFormat w:val="1"/>
    <w:pPr>
      <w:numPr>
        <w:numId w:val="1"/>
      </w:numPr>
      <w:tabs>
        <w:tab w:val="left" w:pos="175"/>
      </w:tabs>
      <w:spacing w:after="120"/>
    </w:pPr>
  </w:style>
  <w:style w:type="paragraph" w:styleId="GPSDefinitionL2" w:customStyle="1">
    <w:name w:val="GPS Definition L2"/>
    <w:basedOn w:val="GPsDefinition"/>
    <w:uiPriority w:val="99"/>
    <w:qFormat w:val="1"/>
    <w:pPr>
      <w:numPr>
        <w:ilvl w:val="1"/>
      </w:numPr>
      <w:ind w:hanging="544"/>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GPSDefinitionTerm" w:customStyle="1">
    <w:name w:val="GPS Definition Term"/>
    <w:basedOn w:val="Normal"/>
    <w:uiPriority w:val="99"/>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rsid w:val="004D49BE"/>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ZYCjA2jcyV8kSs3Hqh4N3eZcezQ==">AMUW2mV6EZTdlGckYjRs4sgRowPdNpHh39Jzwx7eBaU0Krmp85r9V9k64vDh7LQSLky4DeAkHUZNQA0PvazkrdMwUqV1Armx0UNqrOr2uvoeuweW1NYnsPoSKOhertUqom8NUP1D3p0wxsI5XzUo5Ie01iTTIT0kNhYTj9OQzF9EKmBKL6GjGruHf8DY7vhr9sSawAWNBW1HGhKT960w/r6m1MpAaRpDgVjPZCPafdoYa/Dnb55r2q0=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2018-07-23T07:42:00Z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